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24" w:rsidRDefault="00184024" w:rsidP="00184024">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1E06EB">
        <w:rPr>
          <w:rFonts w:ascii="Times New Roman" w:hAnsi="Times New Roman" w:cs="Times New Roman"/>
          <w:sz w:val="24"/>
          <w:szCs w:val="24"/>
        </w:rPr>
        <w:t xml:space="preserve">относящейся к </w:t>
      </w:r>
      <w:r w:rsidR="00846EEC">
        <w:rPr>
          <w:rFonts w:ascii="Times New Roman" w:hAnsi="Times New Roman" w:cs="Times New Roman"/>
          <w:sz w:val="24"/>
          <w:szCs w:val="24"/>
        </w:rPr>
        <w:t>ведущей</w:t>
      </w:r>
      <w:r w:rsidR="001E06EB" w:rsidRPr="00CE73B0">
        <w:rPr>
          <w:rFonts w:ascii="Times New Roman" w:hAnsi="Times New Roman" w:cs="Times New Roman"/>
          <w:sz w:val="24"/>
          <w:szCs w:val="24"/>
        </w:rPr>
        <w:t xml:space="preserve"> группе должностей гражданско</w:t>
      </w:r>
      <w:r w:rsidR="001E06EB">
        <w:rPr>
          <w:rFonts w:ascii="Times New Roman" w:hAnsi="Times New Roman" w:cs="Times New Roman"/>
          <w:sz w:val="24"/>
          <w:szCs w:val="24"/>
        </w:rPr>
        <w:t xml:space="preserve">й службы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B63BE7" w:rsidRDefault="00ED700F" w:rsidP="00A52E26">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C825C5" w:rsidRPr="00C825C5" w:rsidRDefault="00C825C5" w:rsidP="00C825C5">
      <w:pPr>
        <w:pStyle w:val="ConsPlusNormal"/>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55B46" w:rsidRPr="006B6900">
        <w:rPr>
          <w:rFonts w:ascii="Times New Roman" w:hAnsi="Times New Roman" w:cs="Times New Roman"/>
          <w:sz w:val="24"/>
          <w:szCs w:val="24"/>
        </w:rPr>
        <w:t xml:space="preserve">а) </w:t>
      </w:r>
      <w:r w:rsidR="00755B46" w:rsidRPr="006B6900">
        <w:rPr>
          <w:rFonts w:ascii="Times New Roman" w:hAnsi="Times New Roman" w:cs="Times New Roman"/>
          <w:b/>
          <w:sz w:val="24"/>
          <w:szCs w:val="24"/>
        </w:rPr>
        <w:t xml:space="preserve">наличие высшего образования </w:t>
      </w:r>
      <w:r w:rsidR="00755B46" w:rsidRPr="006B6900">
        <w:rPr>
          <w:rFonts w:ascii="Times New Roman" w:hAnsi="Times New Roman" w:cs="Times New Roman"/>
          <w:b/>
          <w:sz w:val="24"/>
          <w:szCs w:val="24"/>
          <w:u w:val="single"/>
        </w:rPr>
        <w:t>по специальности, направлению подготовки</w:t>
      </w:r>
      <w:r w:rsidR="00755B46" w:rsidRPr="006B6900">
        <w:rPr>
          <w:rFonts w:ascii="Times New Roman" w:hAnsi="Times New Roman" w:cs="Times New Roman"/>
          <w:sz w:val="24"/>
          <w:szCs w:val="24"/>
        </w:rPr>
        <w:t xml:space="preserve">: </w:t>
      </w:r>
      <w:r w:rsidRPr="000042BC">
        <w:rPr>
          <w:rFonts w:ascii="Times New Roman" w:hAnsi="Times New Roman" w:cs="Times New Roman"/>
          <w:sz w:val="26"/>
          <w:szCs w:val="26"/>
        </w:rPr>
        <w:t>«</w:t>
      </w:r>
      <w:r w:rsidRPr="00C825C5">
        <w:rPr>
          <w:rFonts w:ascii="Times New Roman" w:hAnsi="Times New Roman" w:cs="Times New Roman"/>
          <w:sz w:val="24"/>
          <w:szCs w:val="24"/>
        </w:rPr>
        <w:t>Юриспруденция» «Государственное и муниципальное управление», «Менеджмент», «Управление персоналом»,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C825C5" w:rsidRPr="00C825C5" w:rsidRDefault="00C825C5" w:rsidP="00C825C5">
      <w:pPr>
        <w:pStyle w:val="ConsPlusNormal"/>
        <w:ind w:left="-567" w:firstLine="540"/>
        <w:jc w:val="both"/>
        <w:rPr>
          <w:rFonts w:ascii="Times New Roman" w:hAnsi="Times New Roman" w:cs="Times New Roman"/>
          <w:sz w:val="24"/>
          <w:szCs w:val="24"/>
        </w:rPr>
      </w:pPr>
      <w:r w:rsidRPr="00C825C5">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554B37" w:rsidRPr="00C825C5" w:rsidRDefault="00554B37" w:rsidP="00C825C5">
      <w:pPr>
        <w:pStyle w:val="ConsPlusNormal"/>
        <w:ind w:left="-567" w:firstLine="540"/>
        <w:jc w:val="both"/>
        <w:rPr>
          <w:rFonts w:ascii="Times New Roman" w:hAnsi="Times New Roman" w:cs="Times New Roman"/>
          <w:b/>
          <w:sz w:val="24"/>
          <w:szCs w:val="24"/>
        </w:rPr>
      </w:pPr>
      <w:r w:rsidRPr="00C825C5">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C825C5" w:rsidRPr="00C825C5" w:rsidRDefault="00C825C5" w:rsidP="00C825C5">
      <w:pPr>
        <w:pStyle w:val="ConsPlusNormal"/>
        <w:ind w:left="-567" w:firstLine="540"/>
        <w:jc w:val="both"/>
        <w:rPr>
          <w:rFonts w:ascii="Times New Roman" w:hAnsi="Times New Roman" w:cs="Times New Roman"/>
          <w:sz w:val="24"/>
          <w:szCs w:val="24"/>
        </w:rPr>
      </w:pPr>
      <w:r w:rsidRPr="00C825C5">
        <w:rPr>
          <w:rFonts w:ascii="Times New Roman" w:hAnsi="Times New Roman" w:cs="Times New Roman"/>
          <w:sz w:val="24"/>
          <w:szCs w:val="24"/>
        </w:rPr>
        <w:t xml:space="preserve">включая </w:t>
      </w:r>
      <w:hyperlink r:id="rId9" w:history="1">
        <w:r w:rsidRPr="00C825C5">
          <w:rPr>
            <w:rFonts w:ascii="Times New Roman" w:hAnsi="Times New Roman" w:cs="Times New Roman"/>
            <w:sz w:val="24"/>
            <w:szCs w:val="24"/>
          </w:rPr>
          <w:t>Конституцию</w:t>
        </w:r>
      </w:hyperlink>
      <w:r w:rsidRPr="00C825C5">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C825C5" w:rsidRDefault="00554B37" w:rsidP="00554B37">
      <w:pPr>
        <w:pStyle w:val="ConsPlusNormal"/>
        <w:ind w:left="-567" w:firstLine="540"/>
        <w:jc w:val="both"/>
        <w:rPr>
          <w:rFonts w:ascii="Times New Roman" w:hAnsi="Times New Roman" w:cs="Times New Roman"/>
          <w:b/>
          <w:sz w:val="24"/>
          <w:szCs w:val="24"/>
        </w:rPr>
      </w:pPr>
      <w:r w:rsidRPr="00C825C5">
        <w:rPr>
          <w:rFonts w:ascii="Times New Roman" w:hAnsi="Times New Roman" w:cs="Times New Roman"/>
          <w:b/>
          <w:sz w:val="24"/>
          <w:szCs w:val="24"/>
        </w:rPr>
        <w:t xml:space="preserve">в) наличие иных профессиональных знаний: </w:t>
      </w:r>
    </w:p>
    <w:p w:rsidR="00C825C5" w:rsidRPr="00C825C5" w:rsidRDefault="00C825C5" w:rsidP="00C825C5">
      <w:pPr>
        <w:pStyle w:val="ConsPlusNormal"/>
        <w:ind w:left="-567" w:firstLine="540"/>
        <w:jc w:val="both"/>
        <w:rPr>
          <w:rFonts w:ascii="Times New Roman" w:hAnsi="Times New Roman" w:cs="Times New Roman"/>
          <w:sz w:val="24"/>
          <w:szCs w:val="24"/>
        </w:rPr>
      </w:pPr>
      <w:r w:rsidRPr="00C825C5">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825C5">
        <w:rPr>
          <w:rFonts w:ascii="Times New Roman" w:hAnsi="Times New Roman" w:cs="Times New Roman"/>
          <w:sz w:val="24"/>
          <w:szCs w:val="24"/>
        </w:rPr>
        <w:t>применения</w:t>
      </w:r>
      <w:proofErr w:type="gramEnd"/>
      <w:r w:rsidRPr="00C825C5">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C825C5">
        <w:rPr>
          <w:rFonts w:ascii="Times New Roman" w:hAnsi="Times New Roman" w:cs="Times New Roman"/>
          <w:i/>
          <w:sz w:val="24"/>
          <w:szCs w:val="24"/>
        </w:rPr>
        <w:t>;</w:t>
      </w:r>
      <w:r w:rsidRPr="00C825C5">
        <w:rPr>
          <w:rFonts w:ascii="Times New Roman" w:hAnsi="Times New Roman" w:cs="Times New Roman"/>
          <w:i/>
          <w:color w:val="FF0000"/>
          <w:sz w:val="24"/>
          <w:szCs w:val="24"/>
        </w:rPr>
        <w:t xml:space="preserve"> </w:t>
      </w:r>
      <w:r w:rsidRPr="00C825C5">
        <w:rPr>
          <w:rFonts w:ascii="Times New Roman" w:hAnsi="Times New Roman" w:cs="Times New Roman"/>
          <w:sz w:val="24"/>
          <w:szCs w:val="24"/>
        </w:rPr>
        <w:t>вопросов обеспечения безопасности деятельности государственного органа.</w:t>
      </w:r>
    </w:p>
    <w:p w:rsidR="00554B37" w:rsidRPr="00C825C5" w:rsidRDefault="00554B37" w:rsidP="00554B37">
      <w:pPr>
        <w:pStyle w:val="ConsPlusNormal"/>
        <w:ind w:left="-567" w:firstLine="540"/>
        <w:jc w:val="both"/>
        <w:rPr>
          <w:rFonts w:ascii="Times New Roman" w:hAnsi="Times New Roman" w:cs="Times New Roman"/>
          <w:b/>
          <w:sz w:val="24"/>
          <w:szCs w:val="24"/>
        </w:rPr>
      </w:pPr>
      <w:r w:rsidRPr="00C825C5">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w:t>
      </w:r>
      <w:r w:rsidRPr="00B63BE7">
        <w:rPr>
          <w:rFonts w:ascii="Times New Roman" w:hAnsi="Times New Roman" w:cs="Times New Roman"/>
          <w:sz w:val="24"/>
          <w:szCs w:val="24"/>
        </w:rPr>
        <w:lastRenderedPageBreak/>
        <w:t xml:space="preserve">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C825C5" w:rsidRPr="00C825C5" w:rsidRDefault="00C825C5" w:rsidP="00C825C5">
      <w:pPr>
        <w:pStyle w:val="af8"/>
        <w:rPr>
          <w:rFonts w:ascii="Times New Roman" w:eastAsia="Times New Roman" w:hAnsi="Times New Roman"/>
          <w:sz w:val="24"/>
          <w:szCs w:val="24"/>
          <w:lang w:eastAsia="ru-RU"/>
        </w:rPr>
      </w:pPr>
      <w:r w:rsidRPr="00C825C5">
        <w:rPr>
          <w:rFonts w:ascii="Times New Roman" w:eastAsia="Times New Roman" w:hAnsi="Times New Roman"/>
          <w:sz w:val="24"/>
          <w:szCs w:val="24"/>
          <w:lang w:eastAsia="ru-RU"/>
        </w:rPr>
        <w:t>- функция кадровой службы организации;</w:t>
      </w:r>
    </w:p>
    <w:p w:rsidR="00C825C5" w:rsidRPr="00C825C5" w:rsidRDefault="00C825C5" w:rsidP="00C825C5">
      <w:pPr>
        <w:pStyle w:val="af8"/>
        <w:ind w:left="-567" w:firstLine="567"/>
        <w:rPr>
          <w:rFonts w:ascii="Times New Roman" w:eastAsia="Times New Roman" w:hAnsi="Times New Roman"/>
          <w:sz w:val="24"/>
          <w:szCs w:val="24"/>
          <w:lang w:eastAsia="ru-RU"/>
        </w:rPr>
      </w:pPr>
      <w:r w:rsidRPr="00C825C5">
        <w:rPr>
          <w:rFonts w:ascii="Times New Roman" w:eastAsia="Times New Roman" w:hAnsi="Times New Roman"/>
          <w:sz w:val="24"/>
          <w:szCs w:val="24"/>
          <w:lang w:eastAsia="ru-RU"/>
        </w:rPr>
        <w:t>- принципы формирования и оценки эффективности деятельности кадровых служб в организациях;</w:t>
      </w:r>
    </w:p>
    <w:p w:rsidR="00C825C5" w:rsidRPr="00C825C5" w:rsidRDefault="00C825C5" w:rsidP="00C825C5">
      <w:pPr>
        <w:pStyle w:val="af8"/>
        <w:rPr>
          <w:rFonts w:ascii="Times New Roman" w:eastAsia="Times New Roman" w:hAnsi="Times New Roman"/>
          <w:sz w:val="24"/>
          <w:szCs w:val="24"/>
          <w:lang w:eastAsia="ru-RU"/>
        </w:rPr>
      </w:pPr>
      <w:r w:rsidRPr="00C825C5">
        <w:rPr>
          <w:rFonts w:ascii="Times New Roman" w:eastAsia="Times New Roman" w:hAnsi="Times New Roman"/>
          <w:sz w:val="24"/>
          <w:szCs w:val="24"/>
          <w:lang w:eastAsia="ru-RU"/>
        </w:rPr>
        <w:t>- перечень государственных наград Российской Федерации;</w:t>
      </w:r>
    </w:p>
    <w:p w:rsidR="00C825C5" w:rsidRPr="00C825C5" w:rsidRDefault="00C825C5" w:rsidP="00C825C5">
      <w:pPr>
        <w:pStyle w:val="af8"/>
        <w:rPr>
          <w:rFonts w:ascii="Times New Roman" w:eastAsia="Times New Roman" w:hAnsi="Times New Roman"/>
          <w:sz w:val="24"/>
          <w:szCs w:val="24"/>
          <w:lang w:eastAsia="ru-RU"/>
        </w:rPr>
      </w:pPr>
      <w:r w:rsidRPr="00C825C5">
        <w:rPr>
          <w:rFonts w:ascii="Times New Roman" w:eastAsia="Times New Roman" w:hAnsi="Times New Roman"/>
          <w:sz w:val="24"/>
          <w:szCs w:val="24"/>
          <w:lang w:eastAsia="ru-RU"/>
        </w:rPr>
        <w:t xml:space="preserve">- процедура </w:t>
      </w:r>
      <w:proofErr w:type="spellStart"/>
      <w:r w:rsidRPr="00C825C5">
        <w:rPr>
          <w:rFonts w:ascii="Times New Roman" w:eastAsia="Times New Roman" w:hAnsi="Times New Roman"/>
          <w:sz w:val="24"/>
          <w:szCs w:val="24"/>
          <w:lang w:eastAsia="ru-RU"/>
        </w:rPr>
        <w:t>ходатайствования</w:t>
      </w:r>
      <w:proofErr w:type="spellEnd"/>
      <w:r w:rsidRPr="00C825C5">
        <w:rPr>
          <w:rFonts w:ascii="Times New Roman" w:eastAsia="Times New Roman" w:hAnsi="Times New Roman"/>
          <w:sz w:val="24"/>
          <w:szCs w:val="24"/>
          <w:lang w:eastAsia="ru-RU"/>
        </w:rPr>
        <w:t xml:space="preserve"> о награждении;</w:t>
      </w:r>
    </w:p>
    <w:p w:rsidR="00C825C5" w:rsidRPr="00C825C5" w:rsidRDefault="00C825C5" w:rsidP="00C825C5">
      <w:pPr>
        <w:jc w:val="both"/>
      </w:pPr>
      <w:r w:rsidRPr="00C825C5">
        <w:t>- процедура поощрения и награждения за гражданскую службу;</w:t>
      </w:r>
    </w:p>
    <w:p w:rsidR="00C825C5" w:rsidRPr="00C825C5" w:rsidRDefault="00C825C5" w:rsidP="00C825C5">
      <w:pPr>
        <w:pStyle w:val="a3"/>
        <w:ind w:left="-567"/>
      </w:pPr>
      <w:r w:rsidRPr="00C825C5">
        <w:tab/>
        <w:t>- организация пропускного режима, инженерно-технические средства охраны режимных территорий и режимных помещений;</w:t>
      </w:r>
    </w:p>
    <w:p w:rsidR="00755B46" w:rsidRPr="00654266" w:rsidRDefault="00755B46" w:rsidP="00755B46">
      <w:pPr>
        <w:widowControl w:val="0"/>
        <w:autoSpaceDE w:val="0"/>
        <w:autoSpaceDN w:val="0"/>
        <w:ind w:left="-567" w:firstLine="567"/>
        <w:jc w:val="both"/>
        <w:rPr>
          <w:b/>
        </w:rPr>
      </w:pPr>
      <w:r w:rsidRPr="00654266">
        <w:rPr>
          <w:b/>
        </w:rPr>
        <w:t xml:space="preserve">б) наличие функциональных умений: </w:t>
      </w:r>
    </w:p>
    <w:p w:rsidR="00C825C5" w:rsidRPr="00C825C5" w:rsidRDefault="00C825C5" w:rsidP="00C825C5">
      <w:pPr>
        <w:pStyle w:val="a3"/>
        <w:tabs>
          <w:tab w:val="left" w:pos="1134"/>
        </w:tabs>
        <w:ind w:left="-567" w:firstLine="567"/>
      </w:pPr>
      <w:r w:rsidRPr="00C825C5">
        <w:t>- подготовка документов по применению законодательства о гражданской службе и противодействию коррупции;</w:t>
      </w:r>
    </w:p>
    <w:p w:rsidR="00C825C5" w:rsidRPr="00C825C5" w:rsidRDefault="00C825C5" w:rsidP="00C825C5">
      <w:pPr>
        <w:pStyle w:val="a3"/>
        <w:tabs>
          <w:tab w:val="left" w:pos="1134"/>
        </w:tabs>
        <w:ind w:left="-567" w:firstLine="567"/>
      </w:pPr>
      <w:r w:rsidRPr="00C825C5">
        <w:t>- ведение личных дел, трудовых книжек гражданских служащих, работа со служебными удостоверениями;</w:t>
      </w:r>
    </w:p>
    <w:p w:rsidR="00C825C5" w:rsidRPr="00C825C5" w:rsidRDefault="00C825C5" w:rsidP="00C825C5">
      <w:pPr>
        <w:pStyle w:val="a3"/>
        <w:tabs>
          <w:tab w:val="left" w:pos="1134"/>
        </w:tabs>
        <w:ind w:left="0"/>
      </w:pPr>
      <w:r w:rsidRPr="00C825C5">
        <w:t xml:space="preserve">- организация и нормирование труда; </w:t>
      </w:r>
    </w:p>
    <w:p w:rsidR="00C825C5" w:rsidRDefault="00C825C5" w:rsidP="00C825C5">
      <w:pPr>
        <w:pStyle w:val="a3"/>
        <w:tabs>
          <w:tab w:val="left" w:pos="0"/>
        </w:tabs>
        <w:ind w:left="-567"/>
        <w:rPr>
          <w:sz w:val="26"/>
          <w:szCs w:val="26"/>
        </w:rPr>
      </w:pPr>
      <w:r w:rsidRPr="00C825C5">
        <w:tab/>
        <w:t>- проведение инструктажей по безопасности, пропускному режиму</w:t>
      </w:r>
      <w:r>
        <w:rPr>
          <w:sz w:val="26"/>
          <w:szCs w:val="26"/>
        </w:rPr>
        <w:t>.</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lastRenderedPageBreak/>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lastRenderedPageBreak/>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C825C5">
        <w:rPr>
          <w:b/>
        </w:rPr>
        <w:t>22.04</w:t>
      </w:r>
      <w:r w:rsidR="00755B46">
        <w:rPr>
          <w:b/>
        </w:rPr>
        <w:t>.2022</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lastRenderedPageBreak/>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CE50AD" w:rsidRPr="00010902" w:rsidRDefault="006426CD" w:rsidP="00CE50AD">
      <w:pPr>
        <w:rPr>
          <w:sz w:val="26"/>
          <w:szCs w:val="26"/>
        </w:rPr>
      </w:pPr>
      <w:r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lastRenderedPageBreak/>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1" w:name="Par51"/>
      <w:bookmarkEnd w:id="1"/>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2" w:name="Par87"/>
      <w:bookmarkEnd w:id="2"/>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3" w:name="Par168"/>
      <w:bookmarkEnd w:id="3"/>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4" w:name="Par170"/>
      <w:bookmarkEnd w:id="4"/>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5" w:name="Par265"/>
      <w:bookmarkEnd w:id="5"/>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6" w:name="Par338"/>
      <w:bookmarkEnd w:id="6"/>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71"/>
      <w:bookmarkEnd w:id="7"/>
      <w:r>
        <w:t xml:space="preserve">    Раздел 5. Сведения о ценных бумагах</w:t>
      </w:r>
    </w:p>
    <w:p w:rsidR="00973D87" w:rsidRDefault="00973D87" w:rsidP="00973D87">
      <w:pPr>
        <w:pStyle w:val="ConsPlusNonformat"/>
      </w:pPr>
      <w:bookmarkStart w:id="8" w:name="Par373"/>
      <w:bookmarkEnd w:id="8"/>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9" w:name="Par418"/>
      <w:bookmarkEnd w:id="9"/>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0" w:name="Par474"/>
      <w:bookmarkEnd w:id="10"/>
      <w:r>
        <w:t xml:space="preserve">    Раздел 6. Сведения об обязательствах имущественного характера</w:t>
      </w:r>
    </w:p>
    <w:p w:rsidR="00973D87" w:rsidRDefault="00973D87" w:rsidP="00973D87">
      <w:pPr>
        <w:pStyle w:val="ConsPlusNonformat"/>
      </w:pPr>
      <w:bookmarkStart w:id="11" w:name="Par476"/>
      <w:bookmarkEnd w:id="11"/>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2" w:name="Par509"/>
      <w:bookmarkEnd w:id="12"/>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3" w:name="Par550"/>
      <w:bookmarkEnd w:id="13"/>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4" w:name="Par551"/>
      <w:bookmarkEnd w:id="14"/>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5" w:name="Par552"/>
      <w:bookmarkEnd w:id="15"/>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6" w:name="Par553"/>
      <w:bookmarkEnd w:id="16"/>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7" w:name="Par554"/>
      <w:bookmarkEnd w:id="17"/>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8" w:name="Par555"/>
      <w:bookmarkEnd w:id="18"/>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9" w:name="Par556"/>
      <w:bookmarkEnd w:id="19"/>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0" w:name="Par557"/>
      <w:bookmarkEnd w:id="20"/>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1" w:name="Par558"/>
      <w:bookmarkEnd w:id="21"/>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2" w:name="Par559"/>
      <w:bookmarkEnd w:id="22"/>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3" w:name="Par560"/>
      <w:bookmarkEnd w:id="23"/>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4" w:name="Par561"/>
      <w:bookmarkEnd w:id="24"/>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5" w:name="Par562"/>
      <w:bookmarkEnd w:id="25"/>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3"/>
      <w:bookmarkEnd w:id="26"/>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7" w:name="Par564"/>
      <w:bookmarkEnd w:id="27"/>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8" w:name="Par565"/>
      <w:bookmarkEnd w:id="28"/>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9" w:name="Par566"/>
      <w:bookmarkEnd w:id="29"/>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67"/>
      <w:bookmarkEnd w:id="30"/>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1" w:name="Par568"/>
      <w:bookmarkEnd w:id="31"/>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2" w:name="Par569"/>
      <w:bookmarkEnd w:id="32"/>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3" w:name="Par570"/>
      <w:bookmarkEnd w:id="33"/>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4" w:name="Par571"/>
      <w:bookmarkEnd w:id="34"/>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5" w:name="Par572"/>
      <w:bookmarkEnd w:id="35"/>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6" w:name="Par573"/>
      <w:bookmarkEnd w:id="36"/>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7" w:name="Par574"/>
      <w:bookmarkEnd w:id="37"/>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8" w:name="Par575"/>
      <w:bookmarkEnd w:id="38"/>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9" w:name="Par576"/>
      <w:bookmarkEnd w:id="39"/>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0" w:name="Par577"/>
      <w:bookmarkEnd w:id="40"/>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1" w:name="Par578"/>
      <w:bookmarkEnd w:id="41"/>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184024" w:rsidRPr="00B63BE7" w:rsidRDefault="00184024" w:rsidP="00184024">
      <w:pPr>
        <w:autoSpaceDE w:val="0"/>
        <w:autoSpaceDN w:val="0"/>
        <w:adjustRightInd w:val="0"/>
      </w:pPr>
      <w:bookmarkStart w:id="42" w:name="_GoBack"/>
      <w:bookmarkEnd w:id="42"/>
    </w:p>
    <w:sectPr w:rsidR="00184024" w:rsidRPr="00B63BE7"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54" w:rsidRDefault="00014254" w:rsidP="001843F2">
      <w:r>
        <w:separator/>
      </w:r>
    </w:p>
  </w:endnote>
  <w:endnote w:type="continuationSeparator" w:id="0">
    <w:p w:rsidR="00014254" w:rsidRDefault="0001425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54" w:rsidRDefault="00014254" w:rsidP="001843F2">
      <w:r>
        <w:separator/>
      </w:r>
    </w:p>
  </w:footnote>
  <w:footnote w:type="continuationSeparator" w:id="0">
    <w:p w:rsidR="00014254" w:rsidRDefault="00014254" w:rsidP="001843F2">
      <w:r>
        <w:continuationSeparator/>
      </w:r>
    </w:p>
  </w:footnote>
  <w:footnote w:id="1">
    <w:p w:rsidR="00014254" w:rsidRDefault="00014254" w:rsidP="001843F2">
      <w:pPr>
        <w:pStyle w:val="a9"/>
        <w:ind w:firstLine="567"/>
      </w:pPr>
      <w:r>
        <w:rPr>
          <w:rStyle w:val="ab"/>
        </w:rPr>
        <w:t>*</w:t>
      </w:r>
      <w:r>
        <w:t> Нужное подчеркнуть.</w:t>
      </w:r>
    </w:p>
    <w:p w:rsidR="00014254" w:rsidRDefault="00014254" w:rsidP="001843F2">
      <w:pPr>
        <w:pStyle w:val="a9"/>
        <w:ind w:firstLine="567"/>
      </w:pPr>
    </w:p>
    <w:p w:rsidR="00014254" w:rsidRDefault="00014254" w:rsidP="001843F2">
      <w:pPr>
        <w:pStyle w:val="a9"/>
        <w:ind w:firstLine="567"/>
      </w:pPr>
    </w:p>
    <w:p w:rsidR="00014254" w:rsidRDefault="0001425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54" w:rsidRDefault="00014254">
    <w:pPr>
      <w:pStyle w:val="af"/>
      <w:jc w:val="center"/>
    </w:pPr>
    <w:r>
      <w:fldChar w:fldCharType="begin"/>
    </w:r>
    <w:r>
      <w:instrText>PAGE   \* MERGEFORMAT</w:instrText>
    </w:r>
    <w:r>
      <w:fldChar w:fldCharType="separate"/>
    </w:r>
    <w:r w:rsidR="00184024">
      <w:rPr>
        <w:noProof/>
      </w:rPr>
      <w:t>17</w:t>
    </w:r>
    <w:r>
      <w:fldChar w:fldCharType="end"/>
    </w:r>
  </w:p>
  <w:p w:rsidR="00014254" w:rsidRDefault="0001425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14254"/>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024"/>
    <w:rsid w:val="001843F2"/>
    <w:rsid w:val="001915DB"/>
    <w:rsid w:val="00191924"/>
    <w:rsid w:val="001939A1"/>
    <w:rsid w:val="0019439B"/>
    <w:rsid w:val="00197A98"/>
    <w:rsid w:val="001A035D"/>
    <w:rsid w:val="001B326A"/>
    <w:rsid w:val="001C12DB"/>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B6900"/>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18DF"/>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04D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A0F95"/>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0730"/>
    <w:rsid w:val="00C8130E"/>
    <w:rsid w:val="00C825C5"/>
    <w:rsid w:val="00C82ECA"/>
    <w:rsid w:val="00C873B7"/>
    <w:rsid w:val="00C92DA3"/>
    <w:rsid w:val="00C930B7"/>
    <w:rsid w:val="00C97B61"/>
    <w:rsid w:val="00CA25A6"/>
    <w:rsid w:val="00CB15AC"/>
    <w:rsid w:val="00CC4BF6"/>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1BB9-9D19-4581-AE0C-D41D6927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6674</Words>
  <Characters>38043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2</cp:revision>
  <cp:lastPrinted>2022-03-03T03:10:00Z</cp:lastPrinted>
  <dcterms:created xsi:type="dcterms:W3CDTF">2022-03-16T22:52:00Z</dcterms:created>
  <dcterms:modified xsi:type="dcterms:W3CDTF">2022-03-16T22:52:00Z</dcterms:modified>
</cp:coreProperties>
</file>